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DB" w:rsidRDefault="006428DB">
      <w:pPr>
        <w:widowControl/>
        <w:spacing w:line="500" w:lineRule="exact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附件：</w:t>
      </w:r>
    </w:p>
    <w:p w:rsidR="006428DB" w:rsidRDefault="006428DB">
      <w:pPr>
        <w:widowControl/>
        <w:spacing w:line="500" w:lineRule="exact"/>
        <w:rPr>
          <w:rFonts w:ascii="宋体" w:hAnsi="宋体" w:hint="eastAsia"/>
          <w:b/>
          <w:color w:val="000000"/>
          <w:sz w:val="28"/>
          <w:szCs w:val="28"/>
        </w:rPr>
      </w:pPr>
    </w:p>
    <w:p w:rsidR="006428DB" w:rsidRDefault="006428DB">
      <w:pPr>
        <w:widowControl/>
        <w:spacing w:line="50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广西大学行健文理学院毕业生就业工作考核内容及评分标准（2018版）</w:t>
      </w:r>
    </w:p>
    <w:p w:rsidR="006428DB" w:rsidRDefault="006428DB">
      <w:pPr>
        <w:widowControl/>
        <w:spacing w:line="500" w:lineRule="exact"/>
        <w:ind w:firstLineChars="100" w:firstLine="320"/>
        <w:rPr>
          <w:rFonts w:ascii="宋体" w:hAnsi="宋体" w:hint="eastAsia"/>
          <w:color w:val="000000"/>
          <w:sz w:val="32"/>
          <w:szCs w:val="32"/>
        </w:rPr>
      </w:pPr>
    </w:p>
    <w:p w:rsidR="006428DB" w:rsidRDefault="006428DB">
      <w:pPr>
        <w:widowControl/>
        <w:spacing w:line="500" w:lineRule="exact"/>
        <w:ind w:firstLineChars="100" w:firstLine="300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广西大学行健文理学院就业创业工作，分“就业创业工作考核”和“初次就业率考核”两方面考核。</w:t>
      </w:r>
    </w:p>
    <w:p w:rsidR="006428DB" w:rsidRDefault="006428DB">
      <w:pPr>
        <w:widowControl/>
        <w:spacing w:line="500" w:lineRule="exact"/>
        <w:ind w:firstLineChars="100" w:firstLine="281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一、广西大学行健文理学院就业创业工作考核内容及评分标准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936"/>
        <w:gridCol w:w="861"/>
        <w:gridCol w:w="2126"/>
        <w:gridCol w:w="7969"/>
        <w:gridCol w:w="1307"/>
        <w:gridCol w:w="457"/>
      </w:tblGrid>
      <w:tr w:rsidR="006428DB">
        <w:trPr>
          <w:trHeight w:val="742"/>
          <w:jc w:val="center"/>
        </w:trPr>
        <w:tc>
          <w:tcPr>
            <w:tcW w:w="1816" w:type="dxa"/>
            <w:gridSpan w:val="2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检查项目</w:t>
            </w: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检查内容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检查评分标准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检查方法</w:t>
            </w:r>
          </w:p>
        </w:tc>
        <w:tc>
          <w:tcPr>
            <w:tcW w:w="457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得分</w:t>
            </w:r>
          </w:p>
        </w:tc>
      </w:tr>
      <w:tr w:rsidR="006428DB">
        <w:trPr>
          <w:cantSplit/>
          <w:trHeight w:val="704"/>
          <w:jc w:val="center"/>
        </w:trPr>
        <w:tc>
          <w:tcPr>
            <w:tcW w:w="880" w:type="dxa"/>
            <w:vMerge w:val="restart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一、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机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制</w:t>
            </w:r>
          </w:p>
          <w:p w:rsidR="006428DB" w:rsidRDefault="006428D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30分</w:t>
            </w:r>
          </w:p>
        </w:tc>
        <w:tc>
          <w:tcPr>
            <w:tcW w:w="936" w:type="dxa"/>
            <w:vMerge w:val="restart"/>
            <w:vAlign w:val="center"/>
          </w:tcPr>
          <w:p w:rsidR="006428DB" w:rsidRDefault="006428DB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（一）组</w:t>
            </w:r>
          </w:p>
          <w:p w:rsidR="006428DB" w:rsidRDefault="006428DB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织</w:t>
            </w:r>
          </w:p>
          <w:p w:rsidR="006428DB" w:rsidRDefault="006428DB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领</w:t>
            </w:r>
          </w:p>
          <w:p w:rsidR="006428DB" w:rsidRDefault="006428DB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导</w:t>
            </w:r>
          </w:p>
          <w:p w:rsidR="006428DB" w:rsidRDefault="006428DB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8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组织领导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成立就业工作领导小组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，落实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“一把手”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“约谈”工作：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学部领导学年参加双选会的次数≥2次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4分</w:t>
            </w:r>
          </w:p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完成年度就业工作总结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查阅资料、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会议记录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28DB">
        <w:trPr>
          <w:cantSplit/>
          <w:trHeight w:val="832"/>
          <w:jc w:val="center"/>
        </w:trPr>
        <w:tc>
          <w:tcPr>
            <w:tcW w:w="880" w:type="dxa"/>
            <w:vMerge/>
            <w:vAlign w:val="center"/>
          </w:tcPr>
          <w:p w:rsidR="006428DB" w:rsidRDefault="006428D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8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2.研究部署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形成学部年度就业工作方案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，工作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明确，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职责分明，凸显全员参与毕业生就业工作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定期召开就业工作会，研究就业工作中出现的新问题、新情况，制定应对措施，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学部学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年召开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就业工作会议≥4次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少一次扣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1分）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会议记录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28DB">
        <w:trPr>
          <w:cantSplit/>
          <w:trHeight w:val="531"/>
          <w:jc w:val="center"/>
        </w:trPr>
        <w:tc>
          <w:tcPr>
            <w:tcW w:w="880" w:type="dxa"/>
            <w:vMerge/>
            <w:vAlign w:val="center"/>
          </w:tcPr>
          <w:p w:rsidR="006428DB" w:rsidRDefault="006428D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6428DB" w:rsidRDefault="006428DB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（二）</w:t>
            </w:r>
          </w:p>
          <w:p w:rsidR="006428DB" w:rsidRDefault="006428DB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制</w:t>
            </w:r>
          </w:p>
          <w:p w:rsidR="006428DB" w:rsidRDefault="006428DB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度</w:t>
            </w:r>
          </w:p>
          <w:p w:rsidR="006428DB" w:rsidRDefault="006428DB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建</w:t>
            </w:r>
          </w:p>
          <w:p w:rsidR="006428DB" w:rsidRDefault="006428DB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设</w:t>
            </w:r>
          </w:p>
          <w:p w:rsidR="006428DB" w:rsidRDefault="006428DB">
            <w:pP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14</w:t>
            </w: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6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考核激励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制定学部教职工就业工作奖励制度及具体方案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会议记录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558"/>
          <w:jc w:val="center"/>
        </w:trPr>
        <w:tc>
          <w:tcPr>
            <w:tcW w:w="880" w:type="dxa"/>
            <w:vMerge/>
            <w:vAlign w:val="center"/>
          </w:tcPr>
          <w:p w:rsidR="006428DB" w:rsidRDefault="006428D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2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4.专人负责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设置专人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及团队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负责学部就业工作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989"/>
          <w:jc w:val="center"/>
        </w:trPr>
        <w:tc>
          <w:tcPr>
            <w:tcW w:w="880" w:type="dxa"/>
            <w:vMerge/>
            <w:vAlign w:val="center"/>
          </w:tcPr>
          <w:p w:rsidR="006428DB" w:rsidRDefault="006428D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4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5.硬件环境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就业政策、就业信息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工作通知等线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上传播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渠道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就业政策、就业信息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工作通知等线下发布专栏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访谈、实地检查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428DB">
        <w:trPr>
          <w:cantSplit/>
          <w:trHeight w:val="529"/>
          <w:jc w:val="center"/>
        </w:trPr>
        <w:tc>
          <w:tcPr>
            <w:tcW w:w="880" w:type="dxa"/>
            <w:vMerge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6.经费使用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就业经费使用计划，专款专用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查阅、访谈、咨询财务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428DB">
        <w:trPr>
          <w:cantSplit/>
          <w:trHeight w:val="835"/>
          <w:jc w:val="center"/>
        </w:trPr>
        <w:tc>
          <w:tcPr>
            <w:tcW w:w="880" w:type="dxa"/>
            <w:vMerge w:val="restart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二、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内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容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70分</w:t>
            </w:r>
          </w:p>
        </w:tc>
        <w:tc>
          <w:tcPr>
            <w:tcW w:w="936" w:type="dxa"/>
            <w:vMerge w:val="restart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（三）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就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业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管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理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7.指导招聘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组织毕业班班主任参加各种就业会议、大型招聘会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毕业班班主任每次参加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数不低于毕业班班主任总数80%,不足一次扣0.5分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查阅资料、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会议记录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507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8.推荐材料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综合测评及推荐材料按时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准确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完成：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（外出实习班级酌情考虑）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769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9.资格审查及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派遣工作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按时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按质完成毕业生进行网上和书面资格审查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落实就业派遣工作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因毕业生迟填或迟交分别扣0.5分，漏填或没交分别扣1分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核查系统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450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10.就业摸底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第一次就业摸底调查：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次摸底调查：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次摸底调查：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摸底数据如实反应毕业状况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核查系统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428DB">
        <w:trPr>
          <w:cantSplit/>
          <w:trHeight w:val="613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11.就业工作月报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完成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“12月、3月、4月、5月、6月”等学部毕业生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月工作汇报：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缺报一次扣1分，迟报扣0.5分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中心提供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480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12.数据库建立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建立毕业生信息库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建立家长资源信息库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</w:tc>
        <w:tc>
          <w:tcPr>
            <w:tcW w:w="457" w:type="dxa"/>
            <w:vAlign w:val="center"/>
          </w:tcPr>
          <w:p w:rsidR="006428DB" w:rsidRDefault="006428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28DB">
        <w:trPr>
          <w:cantSplit/>
          <w:trHeight w:val="480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13.就业核查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就业材料符合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真实情况：4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有虚假的此项不得分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353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14.就业追踪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按时上交两次追踪数据：4分。迟一天扣0.5分，扣完为止,漏报一次扣分2。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480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（四）就业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指导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服务</w:t>
            </w:r>
          </w:p>
          <w:p w:rsidR="006428DB" w:rsidRDefault="006428DB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15.基层就业引导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开展线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毕业生面向基层（三支一扶、西部计划、村官、特岗教师及应征入伍等）就业政策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宣传：1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  <w:p w:rsidR="006428DB" w:rsidRDefault="006428D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开展线下毕业生基层就业政策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活动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等：1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会议记录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480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16.离校教育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学部毕业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离校教育方案：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开展毕业生文明离校、感恩教育活动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查阅资料、座谈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798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17.就业创业指导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学部毕业生就业创业指导工作方案或计划：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公开面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学部学生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就业创业咨询平台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渠道：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每学年组织5 场以上就业、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专题讲座、报告或活动：2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分。少一场扣1分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480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18.特困毕业生就业帮扶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建立特困毕业生就业帮扶信息库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特困毕业生就业帮扶工作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工作方案或计划：1分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此类毕业生初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次就业率达100%(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情况除外)：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4分，否则不得分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查阅资料、座谈、记录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480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6428DB" w:rsidRDefault="006428D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（五） 就业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市场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建设</w:t>
            </w:r>
          </w:p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19.信息收集发布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一学年至少提供院内信息20条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4分，提供虚假信息此项不得分。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480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20.用人单位库和校友资源库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建立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完善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校友资源信息库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完善用人单位信息库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428DB">
        <w:trPr>
          <w:cantSplit/>
          <w:trHeight w:val="609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21.专场招聘开展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按照学部专业数召开相同数量的专场招聘会：10分。少一场扣1分。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480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22.非校园专场渠道推荐就业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学部教工成功推荐签约毕业生每例奖励0.2分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满分4分。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中心提供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28DB">
        <w:trPr>
          <w:cantSplit/>
          <w:trHeight w:val="480"/>
          <w:jc w:val="center"/>
        </w:trPr>
        <w:tc>
          <w:tcPr>
            <w:tcW w:w="880" w:type="dxa"/>
            <w:vMerge/>
            <w:vAlign w:val="bottom"/>
          </w:tcPr>
          <w:p w:rsidR="006428DB" w:rsidRDefault="006428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vAlign w:val="bottom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23.就业市场调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</w:t>
            </w:r>
          </w:p>
        </w:tc>
        <w:tc>
          <w:tcPr>
            <w:tcW w:w="7969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落实就业市场走访调查工作，完成专业就业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分析报告：2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追踪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掌握往届毕业生情况，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学部毕业生就业质量报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07" w:type="dxa"/>
            <w:vAlign w:val="center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查阅资料</w:t>
            </w:r>
          </w:p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学部提供</w:t>
            </w:r>
          </w:p>
        </w:tc>
        <w:tc>
          <w:tcPr>
            <w:tcW w:w="457" w:type="dxa"/>
            <w:vAlign w:val="bottom"/>
          </w:tcPr>
          <w:p w:rsidR="006428DB" w:rsidRDefault="006428DB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428DB">
        <w:trPr>
          <w:cantSplit/>
          <w:trHeight w:val="1245"/>
          <w:jc w:val="center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6428DB" w:rsidRDefault="006428D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加分项目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428DB" w:rsidRDefault="006428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24.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各类就业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基层政策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等成效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vAlign w:val="center"/>
          </w:tcPr>
          <w:p w:rsidR="006428DB" w:rsidRDefault="006428D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毕业生自主创业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0.2分</w:t>
            </w:r>
          </w:p>
          <w:p w:rsidR="006428DB" w:rsidRDefault="006428D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基层项目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就业：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0.2分</w:t>
            </w:r>
          </w:p>
          <w:p w:rsidR="006428DB" w:rsidRDefault="006428DB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应征入伍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0.2分</w:t>
            </w:r>
          </w:p>
          <w:p w:rsidR="006428DB" w:rsidRDefault="006428DB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考取国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内外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研究生：每例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0.2分</w:t>
            </w:r>
          </w:p>
          <w:p w:rsidR="006428DB" w:rsidRDefault="006428DB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发表就业论文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：每篇+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1分（以发表到刊物为准）</w:t>
            </w:r>
          </w:p>
          <w:p w:rsidR="006428DB" w:rsidRDefault="006428DB"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学部学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挂牌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建基地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：每家+1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查阅材料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6428DB" w:rsidRDefault="006428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428DB" w:rsidRDefault="006428DB">
      <w:pPr>
        <w:widowControl/>
        <w:adjustRightInd w:val="0"/>
        <w:snapToGrid w:val="0"/>
        <w:spacing w:line="300" w:lineRule="auto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6428DB" w:rsidRDefault="006428DB">
      <w:pPr>
        <w:widowControl/>
        <w:adjustRightInd w:val="0"/>
        <w:snapToGrid w:val="0"/>
        <w:spacing w:line="30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注：</w:t>
      </w:r>
    </w:p>
    <w:p w:rsidR="006428DB" w:rsidRDefault="006428DB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1.“协议就业、灵活就业”</w:t>
      </w:r>
      <w:r>
        <w:rPr>
          <w:rFonts w:ascii="宋体" w:hAnsi="宋体" w:cs="宋体"/>
          <w:color w:val="000000"/>
          <w:kern w:val="0"/>
          <w:sz w:val="24"/>
          <w:szCs w:val="24"/>
        </w:rPr>
        <w:t>标准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界定以自治区教育厅规定为准；</w:t>
      </w:r>
    </w:p>
    <w:p w:rsidR="006428DB" w:rsidRDefault="006428DB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2.此考核总分为100分，其他项为加分项目，加分项目应在去年的基础上统计，加分无上限；</w:t>
      </w:r>
    </w:p>
    <w:p w:rsidR="006428DB" w:rsidRPr="001873E0" w:rsidRDefault="006428DB" w:rsidP="001873E0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3.分数X≥95为优秀，90≤X﹤94为达标，X﹤90为未达标。</w:t>
      </w:r>
    </w:p>
    <w:p w:rsidR="001873E0" w:rsidRDefault="001873E0">
      <w:pPr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p w:rsidR="001873E0" w:rsidRDefault="001873E0">
      <w:pPr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p w:rsidR="006428DB" w:rsidRDefault="006428DB">
      <w:pPr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lastRenderedPageBreak/>
        <w:t>二.初次就业率考核</w:t>
      </w:r>
    </w:p>
    <w:p w:rsidR="006428DB" w:rsidRDefault="006428DB">
      <w:pPr>
        <w:ind w:firstLineChars="100" w:firstLine="240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（一）初次就业率统计截止时间： 7月27日</w:t>
      </w:r>
    </w:p>
    <w:p w:rsidR="006428DB" w:rsidRDefault="006428DB">
      <w:pPr>
        <w:ind w:firstLineChars="100" w:firstLine="240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（二）初次就业考核标准分为“达标”、“合格”和“不合格”</w:t>
      </w:r>
    </w:p>
    <w:p w:rsidR="006428DB" w:rsidRDefault="006428DB">
      <w:pPr>
        <w:ind w:firstLineChars="150" w:firstLine="360"/>
        <w:rPr>
          <w:rFonts w:ascii="宋体" w:hAnsi="宋体" w:cs="Verdana" w:hint="eastAsia"/>
          <w:kern w:val="0"/>
          <w:sz w:val="24"/>
        </w:rPr>
      </w:pPr>
      <w:r>
        <w:rPr>
          <w:rFonts w:ascii="宋体" w:hAnsi="宋体" w:cs="Verdana" w:hint="eastAsia"/>
          <w:kern w:val="0"/>
          <w:sz w:val="24"/>
        </w:rPr>
        <w:t>其中，达标=学部初次就业率≥全区高校毕业生初次就业率平均值；合格=全区高校毕业生初次就业率平均值-3%≤学部初次就业率＜全区高校毕业生初次就业率平均值”；不合格=学部初次就业率＜全区高校毕业生初次就业率平均值-3%”。</w:t>
      </w:r>
    </w:p>
    <w:p w:rsidR="006428DB" w:rsidRDefault="006428DB">
      <w:pPr>
        <w:ind w:firstLineChars="150" w:firstLine="360"/>
        <w:rPr>
          <w:rFonts w:ascii="宋体" w:hAnsi="宋体" w:cs="Verdana" w:hint="eastAsia"/>
          <w:kern w:val="0"/>
          <w:sz w:val="24"/>
        </w:rPr>
      </w:pPr>
    </w:p>
    <w:p w:rsidR="006428DB" w:rsidRDefault="006428DB">
      <w:pPr>
        <w:ind w:firstLineChars="150" w:firstLine="360"/>
        <w:rPr>
          <w:rFonts w:ascii="宋体" w:hAnsi="宋体" w:cs="Verdana" w:hint="eastAsia"/>
          <w:kern w:val="0"/>
          <w:sz w:val="24"/>
        </w:rPr>
      </w:pPr>
    </w:p>
    <w:p w:rsidR="006428DB" w:rsidRDefault="006428DB">
      <w:pPr>
        <w:ind w:firstLineChars="150" w:firstLine="360"/>
        <w:rPr>
          <w:rFonts w:ascii="宋体" w:hAnsi="宋体" w:cs="Verdana" w:hint="eastAsia"/>
          <w:kern w:val="0"/>
          <w:sz w:val="24"/>
        </w:rPr>
      </w:pPr>
    </w:p>
    <w:p w:rsidR="006428DB" w:rsidRDefault="006428DB">
      <w:pPr>
        <w:ind w:firstLineChars="150" w:firstLine="360"/>
        <w:rPr>
          <w:rFonts w:ascii="宋体" w:hAnsi="宋体" w:cs="Verdana" w:hint="eastAsia"/>
          <w:kern w:val="0"/>
          <w:sz w:val="24"/>
        </w:rPr>
      </w:pPr>
    </w:p>
    <w:p w:rsidR="006428DB" w:rsidRDefault="006428DB">
      <w:pPr>
        <w:ind w:firstLineChars="150" w:firstLine="360"/>
        <w:rPr>
          <w:rFonts w:ascii="宋体" w:hAnsi="宋体" w:cs="Verdana" w:hint="eastAsia"/>
          <w:kern w:val="0"/>
          <w:sz w:val="24"/>
        </w:rPr>
      </w:pPr>
    </w:p>
    <w:p w:rsidR="006428DB" w:rsidRDefault="006428DB">
      <w:pPr>
        <w:ind w:firstLineChars="150" w:firstLine="360"/>
        <w:jc w:val="center"/>
        <w:rPr>
          <w:rFonts w:ascii="宋体" w:hAnsi="宋体" w:cs="Verdana" w:hint="eastAsia"/>
          <w:kern w:val="0"/>
          <w:sz w:val="24"/>
        </w:rPr>
      </w:pPr>
      <w:r>
        <w:rPr>
          <w:rFonts w:ascii="宋体" w:hAnsi="宋体" w:cs="Verdana" w:hint="eastAsia"/>
          <w:kern w:val="0"/>
          <w:sz w:val="24"/>
        </w:rPr>
        <w:t xml:space="preserve">                                                              广西大学行健文理学院</w:t>
      </w:r>
    </w:p>
    <w:p w:rsidR="006428DB" w:rsidRDefault="006428DB">
      <w:pPr>
        <w:ind w:firstLineChars="150" w:firstLine="360"/>
        <w:jc w:val="center"/>
        <w:rPr>
          <w:rFonts w:ascii="宋体" w:hAnsi="宋体" w:cs="Verdana" w:hint="eastAsia"/>
          <w:kern w:val="0"/>
          <w:sz w:val="24"/>
        </w:rPr>
      </w:pPr>
      <w:r>
        <w:rPr>
          <w:rFonts w:ascii="宋体" w:hAnsi="宋体" w:cs="Verdana" w:hint="eastAsia"/>
          <w:kern w:val="0"/>
          <w:sz w:val="24"/>
        </w:rPr>
        <w:t xml:space="preserve">                                                              </w:t>
      </w:r>
      <w:r>
        <w:rPr>
          <w:rFonts w:ascii="宋体" w:hAnsi="宋体" w:cs="Verdana"/>
          <w:kern w:val="0"/>
          <w:sz w:val="24"/>
        </w:rPr>
        <w:t>201</w:t>
      </w:r>
      <w:r w:rsidR="001873E0">
        <w:rPr>
          <w:rFonts w:ascii="宋体" w:hAnsi="宋体" w:cs="Verdana" w:hint="eastAsia"/>
          <w:kern w:val="0"/>
          <w:sz w:val="24"/>
        </w:rPr>
        <w:t>8</w:t>
      </w:r>
      <w:r>
        <w:rPr>
          <w:rFonts w:ascii="宋体" w:hAnsi="宋体" w:cs="Verdana"/>
          <w:kern w:val="0"/>
          <w:sz w:val="24"/>
        </w:rPr>
        <w:t>年2月</w:t>
      </w:r>
    </w:p>
    <w:p w:rsidR="006428DB" w:rsidRDefault="006428DB">
      <w:pPr>
        <w:ind w:firstLineChars="100" w:firstLine="241"/>
        <w:jc w:val="center"/>
        <w:rPr>
          <w:b/>
          <w:color w:val="000000"/>
          <w:sz w:val="24"/>
          <w:szCs w:val="24"/>
        </w:rPr>
      </w:pPr>
    </w:p>
    <w:sectPr w:rsidR="006428DB">
      <w:headerReference w:type="default" r:id="rId6"/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90" w:rsidRDefault="007E1F90">
      <w:r>
        <w:separator/>
      </w:r>
    </w:p>
  </w:endnote>
  <w:endnote w:type="continuationSeparator" w:id="1">
    <w:p w:rsidR="007E1F90" w:rsidRDefault="007E1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90" w:rsidRDefault="007E1F90">
      <w:r>
        <w:separator/>
      </w:r>
    </w:p>
  </w:footnote>
  <w:footnote w:type="continuationSeparator" w:id="1">
    <w:p w:rsidR="007E1F90" w:rsidRDefault="007E1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DB" w:rsidRDefault="006428D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809"/>
    <w:rsid w:val="0001248F"/>
    <w:rsid w:val="0007102A"/>
    <w:rsid w:val="000E3FF3"/>
    <w:rsid w:val="00115FDB"/>
    <w:rsid w:val="0013779F"/>
    <w:rsid w:val="0014434F"/>
    <w:rsid w:val="001824C5"/>
    <w:rsid w:val="001873E0"/>
    <w:rsid w:val="001E7F1C"/>
    <w:rsid w:val="001F3D36"/>
    <w:rsid w:val="0020429B"/>
    <w:rsid w:val="00257199"/>
    <w:rsid w:val="00271999"/>
    <w:rsid w:val="002A31AB"/>
    <w:rsid w:val="002F3AF0"/>
    <w:rsid w:val="0036596C"/>
    <w:rsid w:val="00412D2D"/>
    <w:rsid w:val="004167F6"/>
    <w:rsid w:val="00482AAF"/>
    <w:rsid w:val="0051644A"/>
    <w:rsid w:val="00547643"/>
    <w:rsid w:val="0058648A"/>
    <w:rsid w:val="005C1CEE"/>
    <w:rsid w:val="005C3567"/>
    <w:rsid w:val="00633D3B"/>
    <w:rsid w:val="006428DB"/>
    <w:rsid w:val="006618F9"/>
    <w:rsid w:val="0068298B"/>
    <w:rsid w:val="007462FB"/>
    <w:rsid w:val="007941BE"/>
    <w:rsid w:val="007958A5"/>
    <w:rsid w:val="007E1F90"/>
    <w:rsid w:val="008C1206"/>
    <w:rsid w:val="008C2360"/>
    <w:rsid w:val="00955F34"/>
    <w:rsid w:val="00963E69"/>
    <w:rsid w:val="009E71BE"/>
    <w:rsid w:val="00A3137D"/>
    <w:rsid w:val="00A44578"/>
    <w:rsid w:val="00A6361D"/>
    <w:rsid w:val="00A93AFD"/>
    <w:rsid w:val="00AB278B"/>
    <w:rsid w:val="00AC7809"/>
    <w:rsid w:val="00B015E6"/>
    <w:rsid w:val="00B77429"/>
    <w:rsid w:val="00B8599E"/>
    <w:rsid w:val="00BA5458"/>
    <w:rsid w:val="00BC5CE8"/>
    <w:rsid w:val="00BD619A"/>
    <w:rsid w:val="00BE235D"/>
    <w:rsid w:val="00BF3270"/>
    <w:rsid w:val="00C31187"/>
    <w:rsid w:val="00C430B9"/>
    <w:rsid w:val="00CD1157"/>
    <w:rsid w:val="00CE5FE1"/>
    <w:rsid w:val="00CE71A3"/>
    <w:rsid w:val="00D013AB"/>
    <w:rsid w:val="00D16C4D"/>
    <w:rsid w:val="00D31556"/>
    <w:rsid w:val="00D42B3E"/>
    <w:rsid w:val="00D86DB9"/>
    <w:rsid w:val="00DE3325"/>
    <w:rsid w:val="00E8355E"/>
    <w:rsid w:val="00E8719F"/>
    <w:rsid w:val="00EF5508"/>
    <w:rsid w:val="00EF78C1"/>
    <w:rsid w:val="00F109B7"/>
    <w:rsid w:val="00F64139"/>
    <w:rsid w:val="00FD53BD"/>
    <w:rsid w:val="01A704FF"/>
    <w:rsid w:val="01DA103A"/>
    <w:rsid w:val="0D116791"/>
    <w:rsid w:val="109F7AAF"/>
    <w:rsid w:val="130A1B5D"/>
    <w:rsid w:val="1AB17E26"/>
    <w:rsid w:val="203E0599"/>
    <w:rsid w:val="206D04E9"/>
    <w:rsid w:val="21275617"/>
    <w:rsid w:val="2447397B"/>
    <w:rsid w:val="292C2260"/>
    <w:rsid w:val="2F520642"/>
    <w:rsid w:val="3642592D"/>
    <w:rsid w:val="39620C2B"/>
    <w:rsid w:val="50676FD2"/>
    <w:rsid w:val="516F3C44"/>
    <w:rsid w:val="53B20C98"/>
    <w:rsid w:val="654B15FB"/>
    <w:rsid w:val="68FB528E"/>
    <w:rsid w:val="788A3D34"/>
    <w:rsid w:val="78C04682"/>
    <w:rsid w:val="7D0E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uiPriority w:val="99"/>
    <w:unhideWhenUsed/>
    <w:pPr>
      <w:jc w:val="left"/>
    </w:pPr>
  </w:style>
  <w:style w:type="paragraph" w:styleId="a7">
    <w:name w:val="Balloon Text"/>
    <w:basedOn w:val="a"/>
    <w:link w:val="Char"/>
    <w:uiPriority w:val="99"/>
    <w:semiHidden/>
    <w:unhideWhenUsed/>
    <w:rsid w:val="001873E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873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368</Words>
  <Characters>2100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China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User</cp:lastModifiedBy>
  <cp:revision>2</cp:revision>
  <cp:lastPrinted>2018-11-06T02:50:00Z</cp:lastPrinted>
  <dcterms:created xsi:type="dcterms:W3CDTF">2018-12-05T10:11:00Z</dcterms:created>
  <dcterms:modified xsi:type="dcterms:W3CDTF">2018-12-05T10:11:00Z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